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0D74" w14:textId="77777777" w:rsidR="00F16ED1" w:rsidRDefault="00897D12">
      <w:pPr>
        <w:spacing w:after="76"/>
        <w:ind w:left="43" w:firstLine="0"/>
        <w:jc w:val="center"/>
      </w:pPr>
      <w:r>
        <w:rPr>
          <w:rFonts w:ascii="Ink Free" w:eastAsia="Ink Free" w:hAnsi="Ink Free" w:cs="Ink Free"/>
          <w:sz w:val="32"/>
        </w:rPr>
        <w:t xml:space="preserve">Quality Restaurant Group </w:t>
      </w:r>
    </w:p>
    <w:p w14:paraId="32B40910" w14:textId="77777777" w:rsidR="00F16ED1" w:rsidRDefault="00897D12">
      <w:pPr>
        <w:spacing w:after="116"/>
        <w:ind w:left="102" w:firstLine="0"/>
        <w:jc w:val="center"/>
      </w:pPr>
      <w:r>
        <w:t xml:space="preserve"> </w:t>
      </w:r>
    </w:p>
    <w:p w14:paraId="3FCC7045" w14:textId="77777777" w:rsidR="00F16ED1" w:rsidRDefault="00897D12">
      <w:pPr>
        <w:spacing w:after="98"/>
        <w:ind w:left="96" w:firstLine="0"/>
        <w:jc w:val="center"/>
      </w:pPr>
      <w:r>
        <w:rPr>
          <w:noProof/>
        </w:rPr>
        <mc:AlternateContent>
          <mc:Choice Requires="wpg">
            <w:drawing>
              <wp:inline distT="0" distB="0" distL="0" distR="0" wp14:anchorId="7061BD25" wp14:editId="70A21DDD">
                <wp:extent cx="2809875" cy="704850"/>
                <wp:effectExtent l="0" t="0" r="0" b="0"/>
                <wp:docPr id="1872" name="Group 1872"/>
                <wp:cNvGraphicFramePr/>
                <a:graphic xmlns:a="http://schemas.openxmlformats.org/drawingml/2006/main">
                  <a:graphicData uri="http://schemas.microsoft.com/office/word/2010/wordprocessingGroup">
                    <wpg:wgp>
                      <wpg:cNvGrpSpPr/>
                      <wpg:grpSpPr>
                        <a:xfrm>
                          <a:off x="0" y="0"/>
                          <a:ext cx="2809875" cy="704850"/>
                          <a:chOff x="0" y="0"/>
                          <a:chExt cx="2809875" cy="704850"/>
                        </a:xfrm>
                      </wpg:grpSpPr>
                      <pic:pic xmlns:pic="http://schemas.openxmlformats.org/drawingml/2006/picture">
                        <pic:nvPicPr>
                          <pic:cNvPr id="153" name="Picture 153"/>
                          <pic:cNvPicPr/>
                        </pic:nvPicPr>
                        <pic:blipFill>
                          <a:blip r:embed="rId5"/>
                          <a:stretch>
                            <a:fillRect/>
                          </a:stretch>
                        </pic:blipFill>
                        <pic:spPr>
                          <a:xfrm>
                            <a:off x="0" y="0"/>
                            <a:ext cx="704850" cy="704850"/>
                          </a:xfrm>
                          <a:prstGeom prst="rect">
                            <a:avLst/>
                          </a:prstGeom>
                        </pic:spPr>
                      </pic:pic>
                      <pic:pic xmlns:pic="http://schemas.openxmlformats.org/drawingml/2006/picture">
                        <pic:nvPicPr>
                          <pic:cNvPr id="155" name="Picture 155"/>
                          <pic:cNvPicPr/>
                        </pic:nvPicPr>
                        <pic:blipFill>
                          <a:blip r:embed="rId6"/>
                          <a:stretch>
                            <a:fillRect/>
                          </a:stretch>
                        </pic:blipFill>
                        <pic:spPr>
                          <a:xfrm>
                            <a:off x="704850" y="0"/>
                            <a:ext cx="695325" cy="695325"/>
                          </a:xfrm>
                          <a:prstGeom prst="rect">
                            <a:avLst/>
                          </a:prstGeom>
                        </pic:spPr>
                      </pic:pic>
                      <pic:pic xmlns:pic="http://schemas.openxmlformats.org/drawingml/2006/picture">
                        <pic:nvPicPr>
                          <pic:cNvPr id="157" name="Picture 157"/>
                          <pic:cNvPicPr/>
                        </pic:nvPicPr>
                        <pic:blipFill>
                          <a:blip r:embed="rId7"/>
                          <a:stretch>
                            <a:fillRect/>
                          </a:stretch>
                        </pic:blipFill>
                        <pic:spPr>
                          <a:xfrm>
                            <a:off x="1409700" y="0"/>
                            <a:ext cx="704850" cy="704850"/>
                          </a:xfrm>
                          <a:prstGeom prst="rect">
                            <a:avLst/>
                          </a:prstGeom>
                        </pic:spPr>
                      </pic:pic>
                      <pic:pic xmlns:pic="http://schemas.openxmlformats.org/drawingml/2006/picture">
                        <pic:nvPicPr>
                          <pic:cNvPr id="159" name="Picture 159"/>
                          <pic:cNvPicPr/>
                        </pic:nvPicPr>
                        <pic:blipFill>
                          <a:blip r:embed="rId8"/>
                          <a:stretch>
                            <a:fillRect/>
                          </a:stretch>
                        </pic:blipFill>
                        <pic:spPr>
                          <a:xfrm>
                            <a:off x="2114550" y="19050"/>
                            <a:ext cx="695325" cy="685800"/>
                          </a:xfrm>
                          <a:prstGeom prst="rect">
                            <a:avLst/>
                          </a:prstGeom>
                        </pic:spPr>
                      </pic:pic>
                    </wpg:wgp>
                  </a:graphicData>
                </a:graphic>
              </wp:inline>
            </w:drawing>
          </mc:Choice>
          <mc:Fallback xmlns:a="http://schemas.openxmlformats.org/drawingml/2006/main">
            <w:pict>
              <v:group id="Group 1872" style="width:221.25pt;height:55.5pt;mso-position-horizontal-relative:char;mso-position-vertical-relative:line" coordsize="28098,7048">
                <v:shape id="Picture 153" style="position:absolute;width:7048;height:7048;left:0;top:0;" filled="f">
                  <v:imagedata r:id="rId9"/>
                </v:shape>
                <v:shape id="Picture 155" style="position:absolute;width:6953;height:6953;left:7048;top:0;" filled="f">
                  <v:imagedata r:id="rId10"/>
                </v:shape>
                <v:shape id="Picture 157" style="position:absolute;width:7048;height:7048;left:14097;top:0;" filled="f">
                  <v:imagedata r:id="rId11"/>
                </v:shape>
                <v:shape id="Picture 159" style="position:absolute;width:6953;height:6858;left:21145;top:190;" filled="f">
                  <v:imagedata r:id="rId12"/>
                </v:shape>
              </v:group>
            </w:pict>
          </mc:Fallback>
        </mc:AlternateContent>
      </w:r>
      <w:r>
        <w:t xml:space="preserve"> </w:t>
      </w:r>
    </w:p>
    <w:p w14:paraId="20FBEF85" w14:textId="77777777" w:rsidR="00F16ED1" w:rsidRDefault="00897D12">
      <w:pPr>
        <w:spacing w:after="162"/>
        <w:ind w:left="0" w:firstLine="0"/>
      </w:pPr>
      <w:r>
        <w:rPr>
          <w:b/>
        </w:rPr>
        <w:t xml:space="preserve"> </w:t>
      </w:r>
    </w:p>
    <w:p w14:paraId="7C207CBB" w14:textId="77777777" w:rsidR="00F16ED1" w:rsidRDefault="00897D12">
      <w:pPr>
        <w:spacing w:after="0"/>
        <w:ind w:left="-5"/>
      </w:pPr>
      <w:r>
        <w:rPr>
          <w:b/>
        </w:rPr>
        <w:t xml:space="preserve">Company: </w:t>
      </w:r>
    </w:p>
    <w:p w14:paraId="055E13B7" w14:textId="77777777" w:rsidR="00F16ED1" w:rsidRDefault="00897D12">
      <w:pPr>
        <w:spacing w:after="0"/>
        <w:ind w:left="0" w:firstLine="0"/>
      </w:pPr>
      <w:r>
        <w:t xml:space="preserve"> </w:t>
      </w:r>
    </w:p>
    <w:p w14:paraId="0526F7AD" w14:textId="77777777" w:rsidR="00F16ED1" w:rsidRDefault="00897D12">
      <w:pPr>
        <w:spacing w:after="158"/>
      </w:pPr>
      <w:r>
        <w:t xml:space="preserve">Quality Restaurant Group (QRG) is one of the fastest growing and largest QSR (quick service restaurant) and fast casual restaurant groups in the country. QRG owns and operates over 330 quick service restaurants with over 10,000 employees across 16 states. </w:t>
      </w:r>
      <w:r>
        <w:t xml:space="preserve">QRG currently owns and operates Pizza Huts </w:t>
      </w:r>
      <w:r>
        <w:t>(Quality Huts); Arby’s (Quality Meats); Moe’s Southwest Grills (Quality Fresca); and Sonic Drive</w:t>
      </w:r>
      <w:r>
        <w:t xml:space="preserve">-Ins (Quality Drive-In) restaurants. </w:t>
      </w:r>
    </w:p>
    <w:p w14:paraId="42F8510F" w14:textId="77777777" w:rsidR="00F16ED1" w:rsidRDefault="00897D12">
      <w:pPr>
        <w:spacing w:after="162"/>
      </w:pPr>
      <w:r>
        <w:rPr>
          <w:b/>
        </w:rPr>
        <w:t>Position Title:</w:t>
      </w:r>
      <w:r>
        <w:t xml:space="preserve"> Treasury Analyst </w:t>
      </w:r>
    </w:p>
    <w:p w14:paraId="4B4A828B" w14:textId="77777777" w:rsidR="00F16ED1" w:rsidRDefault="00897D12">
      <w:pPr>
        <w:spacing w:after="158"/>
      </w:pPr>
      <w:r>
        <w:rPr>
          <w:b/>
        </w:rPr>
        <w:t xml:space="preserve">Position Statement: </w:t>
      </w:r>
      <w:r>
        <w:t>We are currently searchin</w:t>
      </w:r>
      <w:r>
        <w:t xml:space="preserve">g for a Treasury Analyst to join our team at our corporate office in Greensboro, NC. </w:t>
      </w:r>
      <w:r>
        <w:rPr>
          <w:color w:val="2F3639"/>
        </w:rPr>
        <w:t>The Analyst will support all aspects of treasury operations activities. This includes assisting with the development of cash management banking solutions and supporting th</w:t>
      </w:r>
      <w:r>
        <w:rPr>
          <w:color w:val="2F3639"/>
        </w:rPr>
        <w:t>e cash forecasting process.</w:t>
      </w:r>
      <w:r>
        <w:t xml:space="preserve"> </w:t>
      </w:r>
    </w:p>
    <w:p w14:paraId="047EDD06" w14:textId="77777777" w:rsidR="00F16ED1" w:rsidRDefault="00897D12">
      <w:pPr>
        <w:spacing w:after="206"/>
        <w:ind w:left="-5"/>
      </w:pPr>
      <w:r>
        <w:rPr>
          <w:b/>
        </w:rPr>
        <w:t xml:space="preserve">Cash Management:  </w:t>
      </w:r>
    </w:p>
    <w:p w14:paraId="11F1F072" w14:textId="77777777" w:rsidR="00F16ED1" w:rsidRDefault="00897D12">
      <w:pPr>
        <w:numPr>
          <w:ilvl w:val="0"/>
          <w:numId w:val="1"/>
        </w:numPr>
        <w:ind w:hanging="360"/>
      </w:pPr>
      <w:r>
        <w:t xml:space="preserve">Manage daily cash process. </w:t>
      </w:r>
    </w:p>
    <w:p w14:paraId="09A200E9" w14:textId="77777777" w:rsidR="00F16ED1" w:rsidRDefault="00897D12">
      <w:pPr>
        <w:numPr>
          <w:ilvl w:val="0"/>
          <w:numId w:val="1"/>
        </w:numPr>
        <w:ind w:hanging="360"/>
      </w:pPr>
      <w:r>
        <w:t xml:space="preserve">Determine </w:t>
      </w:r>
      <w:r>
        <w:t xml:space="preserve">company’s cash </w:t>
      </w:r>
      <w:r>
        <w:t xml:space="preserve">position and assist in forecasting. </w:t>
      </w:r>
    </w:p>
    <w:p w14:paraId="2709A6AA" w14:textId="77777777" w:rsidR="00F16ED1" w:rsidRDefault="00897D12">
      <w:pPr>
        <w:numPr>
          <w:ilvl w:val="0"/>
          <w:numId w:val="1"/>
        </w:numPr>
        <w:ind w:hanging="360"/>
      </w:pPr>
      <w:r>
        <w:t xml:space="preserve">Process miscellaneous deposit items for corporate bank accounts.  </w:t>
      </w:r>
    </w:p>
    <w:p w14:paraId="384B8E31" w14:textId="77777777" w:rsidR="00F16ED1" w:rsidRDefault="00897D12">
      <w:pPr>
        <w:numPr>
          <w:ilvl w:val="0"/>
          <w:numId w:val="1"/>
        </w:numPr>
        <w:spacing w:after="132"/>
        <w:ind w:hanging="360"/>
      </w:pPr>
      <w:r>
        <w:t xml:space="preserve">Review cash issues in a timely manner.  </w:t>
      </w:r>
    </w:p>
    <w:p w14:paraId="459ABDC0" w14:textId="77777777" w:rsidR="00F16ED1" w:rsidRDefault="00897D12">
      <w:pPr>
        <w:spacing w:after="206"/>
        <w:ind w:left="-5"/>
      </w:pPr>
      <w:r>
        <w:rPr>
          <w:b/>
        </w:rPr>
        <w:t>Banking an</w:t>
      </w:r>
      <w:r>
        <w:rPr>
          <w:b/>
        </w:rPr>
        <w:t xml:space="preserve">d Investment: </w:t>
      </w:r>
    </w:p>
    <w:p w14:paraId="5C6E4152" w14:textId="77777777" w:rsidR="00F16ED1" w:rsidRDefault="00897D12">
      <w:pPr>
        <w:numPr>
          <w:ilvl w:val="0"/>
          <w:numId w:val="1"/>
        </w:numPr>
        <w:ind w:hanging="360"/>
      </w:pPr>
      <w:r>
        <w:t xml:space="preserve">Execute daily concentration of cash and borrowing. </w:t>
      </w:r>
    </w:p>
    <w:p w14:paraId="0CCCC713" w14:textId="77777777" w:rsidR="00F16ED1" w:rsidRDefault="00897D12">
      <w:pPr>
        <w:numPr>
          <w:ilvl w:val="0"/>
          <w:numId w:val="1"/>
        </w:numPr>
        <w:spacing w:after="22"/>
        <w:ind w:hanging="360"/>
      </w:pPr>
      <w:r>
        <w:rPr>
          <w:color w:val="2F3639"/>
        </w:rPr>
        <w:t xml:space="preserve">Executes wire transfers and </w:t>
      </w:r>
      <w:r>
        <w:rPr>
          <w:color w:val="2F3639"/>
        </w:rPr>
        <w:t>other funding necessary to balance company’s daily cash position.</w:t>
      </w:r>
      <w:r>
        <w:rPr>
          <w:color w:val="2F3639"/>
        </w:rPr>
        <w:t xml:space="preserve"> </w:t>
      </w:r>
    </w:p>
    <w:p w14:paraId="26FDE70A" w14:textId="77777777" w:rsidR="00F16ED1" w:rsidRDefault="00897D12">
      <w:pPr>
        <w:numPr>
          <w:ilvl w:val="0"/>
          <w:numId w:val="1"/>
        </w:numPr>
        <w:spacing w:after="133"/>
        <w:ind w:hanging="360"/>
      </w:pPr>
      <w:r>
        <w:rPr>
          <w:color w:val="2F3639"/>
        </w:rPr>
        <w:t xml:space="preserve">Initiates or approves ach transfers. </w:t>
      </w:r>
    </w:p>
    <w:p w14:paraId="75953AE1" w14:textId="77777777" w:rsidR="00F16ED1" w:rsidRDefault="00897D12">
      <w:pPr>
        <w:spacing w:after="206"/>
        <w:ind w:left="-5"/>
      </w:pPr>
      <w:r>
        <w:rPr>
          <w:b/>
        </w:rPr>
        <w:t xml:space="preserve">Reporting and Compliance: </w:t>
      </w:r>
    </w:p>
    <w:p w14:paraId="7900B82E" w14:textId="77777777" w:rsidR="00F16ED1" w:rsidRDefault="00897D12">
      <w:pPr>
        <w:numPr>
          <w:ilvl w:val="0"/>
          <w:numId w:val="1"/>
        </w:numPr>
        <w:ind w:hanging="360"/>
      </w:pPr>
      <w:r>
        <w:t xml:space="preserve">Compile cash reports. </w:t>
      </w:r>
    </w:p>
    <w:p w14:paraId="2BA6B306" w14:textId="77777777" w:rsidR="00F16ED1" w:rsidRDefault="00897D12">
      <w:pPr>
        <w:numPr>
          <w:ilvl w:val="0"/>
          <w:numId w:val="1"/>
        </w:numPr>
        <w:ind w:hanging="360"/>
      </w:pPr>
      <w:r>
        <w:t xml:space="preserve">Post daily cash activities. </w:t>
      </w:r>
    </w:p>
    <w:p w14:paraId="352EBFD4" w14:textId="77777777" w:rsidR="00F16ED1" w:rsidRDefault="00897D12">
      <w:pPr>
        <w:numPr>
          <w:ilvl w:val="0"/>
          <w:numId w:val="1"/>
        </w:numPr>
        <w:ind w:hanging="360"/>
      </w:pPr>
      <w:r>
        <w:t xml:space="preserve">Prepare daily/weekly cash forecast needs. </w:t>
      </w:r>
    </w:p>
    <w:p w14:paraId="5D81E8E7" w14:textId="77777777" w:rsidR="00F16ED1" w:rsidRDefault="00897D12">
      <w:pPr>
        <w:numPr>
          <w:ilvl w:val="0"/>
          <w:numId w:val="1"/>
        </w:numPr>
        <w:ind w:hanging="360"/>
      </w:pPr>
      <w:r>
        <w:t xml:space="preserve">Reconciles all cash accounts. </w:t>
      </w:r>
    </w:p>
    <w:p w14:paraId="5BD0CB4B" w14:textId="77777777" w:rsidR="00F16ED1" w:rsidRDefault="00897D12">
      <w:pPr>
        <w:numPr>
          <w:ilvl w:val="0"/>
          <w:numId w:val="1"/>
        </w:numPr>
        <w:ind w:hanging="360"/>
      </w:pPr>
      <w:r>
        <w:t xml:space="preserve">Maintains account balances. </w:t>
      </w:r>
    </w:p>
    <w:p w14:paraId="7413F33B" w14:textId="77777777" w:rsidR="00F16ED1" w:rsidRDefault="00897D12">
      <w:pPr>
        <w:numPr>
          <w:ilvl w:val="0"/>
          <w:numId w:val="1"/>
        </w:numPr>
        <w:ind w:hanging="360"/>
      </w:pPr>
      <w:r>
        <w:t xml:space="preserve">Preform daily bank account reconciliation.  </w:t>
      </w:r>
    </w:p>
    <w:p w14:paraId="3C67095B" w14:textId="77777777" w:rsidR="00F16ED1" w:rsidRDefault="00897D12">
      <w:pPr>
        <w:numPr>
          <w:ilvl w:val="0"/>
          <w:numId w:val="1"/>
        </w:numPr>
        <w:ind w:hanging="360"/>
      </w:pPr>
      <w:r>
        <w:t>Provides data for monthly journal entries relating to ca</w:t>
      </w:r>
      <w:r>
        <w:t xml:space="preserve">sh management activities.  </w:t>
      </w:r>
    </w:p>
    <w:p w14:paraId="57DEC9B0" w14:textId="77777777" w:rsidR="00F16ED1" w:rsidRDefault="00897D12">
      <w:pPr>
        <w:spacing w:after="0"/>
        <w:ind w:left="720" w:firstLine="0"/>
      </w:pPr>
      <w:r>
        <w:rPr>
          <w:b/>
        </w:rPr>
        <w:lastRenderedPageBreak/>
        <w:t xml:space="preserve"> </w:t>
      </w:r>
    </w:p>
    <w:p w14:paraId="18EC58C8" w14:textId="77777777" w:rsidR="00F16ED1" w:rsidRDefault="00897D12">
      <w:pPr>
        <w:spacing w:after="387"/>
        <w:ind w:left="-5"/>
      </w:pPr>
      <w:r>
        <w:rPr>
          <w:b/>
        </w:rPr>
        <w:t xml:space="preserve">Education: </w:t>
      </w:r>
    </w:p>
    <w:p w14:paraId="3E169D17" w14:textId="77777777" w:rsidR="00F16ED1" w:rsidRDefault="00897D12">
      <w:pPr>
        <w:numPr>
          <w:ilvl w:val="0"/>
          <w:numId w:val="1"/>
        </w:numPr>
        <w:spacing w:after="192"/>
        <w:ind w:hanging="360"/>
      </w:pPr>
      <w:r>
        <w:t>Bachelor's degree in Accounting or Finance required.</w:t>
      </w:r>
      <w:r>
        <w:rPr>
          <w:rFonts w:ascii="Arial" w:eastAsia="Arial" w:hAnsi="Arial" w:cs="Arial"/>
          <w:color w:val="333E49"/>
          <w:sz w:val="29"/>
        </w:rPr>
        <w:t xml:space="preserve"> </w:t>
      </w:r>
      <w:r>
        <w:t xml:space="preserve"> </w:t>
      </w:r>
    </w:p>
    <w:p w14:paraId="04954A2F" w14:textId="77777777" w:rsidR="00F16ED1" w:rsidRDefault="00897D12">
      <w:pPr>
        <w:spacing w:after="304"/>
        <w:ind w:left="-5"/>
      </w:pPr>
      <w:r>
        <w:rPr>
          <w:b/>
        </w:rPr>
        <w:t xml:space="preserve">Experience: </w:t>
      </w:r>
    </w:p>
    <w:p w14:paraId="6E4BA3D8" w14:textId="77777777" w:rsidR="00F16ED1" w:rsidRDefault="00897D12">
      <w:pPr>
        <w:numPr>
          <w:ilvl w:val="0"/>
          <w:numId w:val="1"/>
        </w:numPr>
        <w:ind w:hanging="360"/>
      </w:pPr>
      <w:r>
        <w:t xml:space="preserve">3 </w:t>
      </w:r>
      <w:r>
        <w:t>–</w:t>
      </w:r>
      <w:r>
        <w:t xml:space="preserve"> 5 years in finance or accounting, with cash management experience. </w:t>
      </w:r>
    </w:p>
    <w:p w14:paraId="66D98D34" w14:textId="77777777" w:rsidR="00F16ED1" w:rsidRDefault="00897D12">
      <w:pPr>
        <w:numPr>
          <w:ilvl w:val="0"/>
          <w:numId w:val="1"/>
        </w:numPr>
        <w:spacing w:after="0"/>
        <w:ind w:hanging="360"/>
      </w:pPr>
      <w:r>
        <w:rPr>
          <w:color w:val="2F3639"/>
        </w:rPr>
        <w:t xml:space="preserve">Experience required in using a Treasury Workstation and bank software. </w:t>
      </w:r>
      <w:r>
        <w:t xml:space="preserve"> </w:t>
      </w:r>
    </w:p>
    <w:p w14:paraId="430AE7EC" w14:textId="77777777" w:rsidR="00F16ED1" w:rsidRDefault="00897D12">
      <w:pPr>
        <w:numPr>
          <w:ilvl w:val="0"/>
          <w:numId w:val="1"/>
        </w:numPr>
        <w:ind w:hanging="360"/>
      </w:pPr>
      <w:r>
        <w:t xml:space="preserve">Experience required in retail banking.  </w:t>
      </w:r>
    </w:p>
    <w:p w14:paraId="14700F05" w14:textId="77777777" w:rsidR="00F16ED1" w:rsidRDefault="00897D12">
      <w:pPr>
        <w:numPr>
          <w:ilvl w:val="0"/>
          <w:numId w:val="1"/>
        </w:numPr>
        <w:ind w:hanging="360"/>
      </w:pPr>
      <w:r>
        <w:t xml:space="preserve">Experience in 3PD platform desired. </w:t>
      </w:r>
    </w:p>
    <w:p w14:paraId="29FCF4D4" w14:textId="77777777" w:rsidR="00F16ED1" w:rsidRDefault="00897D12">
      <w:pPr>
        <w:numPr>
          <w:ilvl w:val="0"/>
          <w:numId w:val="1"/>
        </w:numPr>
        <w:spacing w:after="233"/>
        <w:ind w:hanging="360"/>
      </w:pPr>
      <w:r>
        <w:t xml:space="preserve">Experience in credit card/merchant services desired </w:t>
      </w:r>
      <w:r>
        <w:rPr>
          <w:rFonts w:ascii="Segoe UI Symbol" w:eastAsia="Segoe UI Symbol" w:hAnsi="Segoe UI Symbol" w:cs="Segoe UI Symbol"/>
        </w:rPr>
        <w:t>•</w:t>
      </w:r>
      <w:r>
        <w:rPr>
          <w:rFonts w:ascii="Arial" w:eastAsia="Arial" w:hAnsi="Arial" w:cs="Arial"/>
        </w:rPr>
        <w:t xml:space="preserve"> </w:t>
      </w:r>
      <w:r>
        <w:t xml:space="preserve">Experience in restaurant banking desired. </w:t>
      </w:r>
    </w:p>
    <w:p w14:paraId="684943D4" w14:textId="77777777" w:rsidR="00F16ED1" w:rsidRDefault="00897D12">
      <w:pPr>
        <w:spacing w:after="206"/>
        <w:ind w:left="-5"/>
      </w:pPr>
      <w:r>
        <w:rPr>
          <w:b/>
        </w:rPr>
        <w:t xml:space="preserve">Skills: </w:t>
      </w:r>
    </w:p>
    <w:p w14:paraId="5DBBFB8C" w14:textId="77777777" w:rsidR="00F16ED1" w:rsidRDefault="00897D12">
      <w:pPr>
        <w:numPr>
          <w:ilvl w:val="0"/>
          <w:numId w:val="1"/>
        </w:numPr>
        <w:ind w:hanging="360"/>
      </w:pPr>
      <w:r>
        <w:t xml:space="preserve">Must have the ability to work with large volumes of data. </w:t>
      </w:r>
    </w:p>
    <w:p w14:paraId="0FAE1A68" w14:textId="77777777" w:rsidR="00F16ED1" w:rsidRDefault="00897D12">
      <w:pPr>
        <w:numPr>
          <w:ilvl w:val="0"/>
          <w:numId w:val="1"/>
        </w:numPr>
        <w:spacing w:after="48"/>
        <w:ind w:hanging="360"/>
      </w:pPr>
      <w:r>
        <w:t xml:space="preserve">Must have a high degree of self-direction. Ability to work independently as well as collaboratively as needed. </w:t>
      </w:r>
    </w:p>
    <w:p w14:paraId="2537B484" w14:textId="77777777" w:rsidR="00F16ED1" w:rsidRDefault="00897D12">
      <w:pPr>
        <w:numPr>
          <w:ilvl w:val="0"/>
          <w:numId w:val="1"/>
        </w:numPr>
        <w:ind w:hanging="360"/>
      </w:pPr>
      <w:r>
        <w:t>Proven analytical and problem-sol</w:t>
      </w:r>
      <w:r>
        <w:t xml:space="preserve">ving skills. </w:t>
      </w:r>
    </w:p>
    <w:p w14:paraId="6514F049" w14:textId="77777777" w:rsidR="00F16ED1" w:rsidRDefault="00897D12">
      <w:pPr>
        <w:numPr>
          <w:ilvl w:val="0"/>
          <w:numId w:val="1"/>
        </w:numPr>
        <w:spacing w:after="46"/>
        <w:ind w:hanging="360"/>
      </w:pPr>
      <w:r>
        <w:t>Strong attention to detail.</w:t>
      </w:r>
      <w:r>
        <w:rPr>
          <w:b/>
          <w:color w:val="202124"/>
          <w:sz w:val="21"/>
        </w:rPr>
        <w:t xml:space="preserve"> </w:t>
      </w:r>
      <w:r>
        <w:rPr>
          <w:color w:val="202124"/>
        </w:rPr>
        <w:t>Thoroughness in accomplishing a task through concern for all the areas involved, no matter how small.</w:t>
      </w:r>
      <w:r>
        <w:t xml:space="preserve"> </w:t>
      </w:r>
    </w:p>
    <w:p w14:paraId="6F531388" w14:textId="77777777" w:rsidR="00F16ED1" w:rsidRDefault="00897D12">
      <w:pPr>
        <w:numPr>
          <w:ilvl w:val="0"/>
          <w:numId w:val="1"/>
        </w:numPr>
        <w:ind w:hanging="360"/>
      </w:pPr>
      <w:r>
        <w:t>Presentation - creation, design, and presentation of information</w:t>
      </w:r>
      <w:r>
        <w:rPr>
          <w:b/>
          <w:color w:val="808080"/>
        </w:rPr>
        <w:t>.</w:t>
      </w:r>
      <w:r>
        <w:t xml:space="preserve"> </w:t>
      </w:r>
    </w:p>
    <w:p w14:paraId="612141A3" w14:textId="77777777" w:rsidR="00F16ED1" w:rsidRDefault="00897D12">
      <w:pPr>
        <w:numPr>
          <w:ilvl w:val="0"/>
          <w:numId w:val="1"/>
        </w:numPr>
        <w:spacing w:after="43"/>
        <w:ind w:hanging="360"/>
      </w:pPr>
      <w:r>
        <w:t>Organizational - well-developed planning &amp; o</w:t>
      </w:r>
      <w:r>
        <w:t xml:space="preserve">rganization skills to manage multiple projects and priorities. </w:t>
      </w:r>
    </w:p>
    <w:p w14:paraId="53E00685" w14:textId="77777777" w:rsidR="00F16ED1" w:rsidRDefault="00897D12">
      <w:pPr>
        <w:numPr>
          <w:ilvl w:val="0"/>
          <w:numId w:val="1"/>
        </w:numPr>
        <w:spacing w:after="46"/>
        <w:ind w:hanging="360"/>
      </w:pPr>
      <w:r>
        <w:t>Troubleshoot -</w:t>
      </w:r>
      <w:r>
        <w:rPr>
          <w:b/>
          <w:color w:val="202124"/>
        </w:rPr>
        <w:t xml:space="preserve"> </w:t>
      </w:r>
      <w:r>
        <w:rPr>
          <w:color w:val="202124"/>
        </w:rPr>
        <w:t>ability to adopt a systematic approach towards identifying and then solving a problem or issue at hand.</w:t>
      </w:r>
      <w:r>
        <w:rPr>
          <w:color w:val="202124"/>
        </w:rPr>
        <w:t xml:space="preserve"> </w:t>
      </w:r>
      <w:r>
        <w:t xml:space="preserve"> </w:t>
      </w:r>
    </w:p>
    <w:p w14:paraId="54670344" w14:textId="77777777" w:rsidR="00F16ED1" w:rsidRDefault="00897D12">
      <w:pPr>
        <w:numPr>
          <w:ilvl w:val="0"/>
          <w:numId w:val="1"/>
        </w:numPr>
        <w:spacing w:after="133"/>
        <w:ind w:hanging="360"/>
      </w:pPr>
      <w:r>
        <w:t xml:space="preserve">Excellent verbal and written skills required. </w:t>
      </w:r>
    </w:p>
    <w:p w14:paraId="0EF53793" w14:textId="6BB211F7" w:rsidR="00F16ED1" w:rsidRDefault="00897D12">
      <w:pPr>
        <w:spacing w:after="0"/>
        <w:ind w:left="360" w:firstLine="0"/>
      </w:pPr>
      <w:r>
        <w:t xml:space="preserve"> </w:t>
      </w:r>
    </w:p>
    <w:p w14:paraId="29682AF1" w14:textId="0BEC15A8" w:rsidR="00897D12" w:rsidRDefault="00897D12">
      <w:pPr>
        <w:spacing w:after="0"/>
        <w:ind w:left="360" w:firstLine="0"/>
      </w:pPr>
      <w:r>
        <w:t xml:space="preserve">To apply please forward your resume to </w:t>
      </w:r>
      <w:hyperlink r:id="rId13" w:history="1">
        <w:r w:rsidRPr="006317A8">
          <w:rPr>
            <w:rStyle w:val="Hyperlink"/>
          </w:rPr>
          <w:t>Lisa.Howard@QRGLLC.com</w:t>
        </w:r>
      </w:hyperlink>
    </w:p>
    <w:p w14:paraId="63BEA8ED" w14:textId="77777777" w:rsidR="00897D12" w:rsidRDefault="00897D12">
      <w:pPr>
        <w:spacing w:after="0"/>
        <w:ind w:left="360" w:firstLine="0"/>
      </w:pPr>
    </w:p>
    <w:sectPr w:rsidR="00897D12">
      <w:pgSz w:w="12240" w:h="15840"/>
      <w:pgMar w:top="1483" w:right="1488" w:bottom="154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5BD"/>
    <w:multiLevelType w:val="hybridMultilevel"/>
    <w:tmpl w:val="37D8C37C"/>
    <w:lvl w:ilvl="0" w:tplc="172C75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872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8F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AE1A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CA6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8E81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2CC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4D2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FCC7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2234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D1"/>
    <w:rsid w:val="00897D12"/>
    <w:rsid w:val="00F1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49D"/>
  <w15:docId w15:val="{8F7CB94F-E867-43E3-B91C-9B1AEB5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D12"/>
    <w:rPr>
      <w:color w:val="0563C1" w:themeColor="hyperlink"/>
      <w:u w:val="single"/>
    </w:rPr>
  </w:style>
  <w:style w:type="character" w:styleId="UnresolvedMention">
    <w:name w:val="Unresolved Mention"/>
    <w:basedOn w:val="DefaultParagraphFont"/>
    <w:uiPriority w:val="99"/>
    <w:semiHidden/>
    <w:unhideWhenUsed/>
    <w:rsid w:val="0089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Lisa.Howard@QRGLLC.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Howard</dc:creator>
  <cp:keywords/>
  <cp:lastModifiedBy>Lisa Howard</cp:lastModifiedBy>
  <cp:revision>2</cp:revision>
  <dcterms:created xsi:type="dcterms:W3CDTF">2022-05-19T16:03:00Z</dcterms:created>
  <dcterms:modified xsi:type="dcterms:W3CDTF">2022-05-19T16:03:00Z</dcterms:modified>
</cp:coreProperties>
</file>